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09F6" w14:textId="0911D4D7" w:rsidR="00517F23" w:rsidRPr="00F410AA" w:rsidRDefault="00056EE5" w:rsidP="00F410AA">
      <w:pPr>
        <w:pStyle w:val="Nagwek1"/>
        <w:spacing w:before="0" w:after="120"/>
        <w:rPr>
          <w:rFonts w:ascii="Arial" w:hAnsi="Arial" w:cs="Arial"/>
          <w:b/>
          <w:bCs/>
          <w:color w:val="auto"/>
          <w:sz w:val="28"/>
          <w:szCs w:val="28"/>
        </w:rPr>
      </w:pPr>
      <w:r w:rsidRPr="00F410AA">
        <w:rPr>
          <w:rFonts w:ascii="Arial" w:hAnsi="Arial" w:cs="Arial"/>
          <w:b/>
          <w:bCs/>
          <w:color w:val="auto"/>
          <w:sz w:val="28"/>
          <w:szCs w:val="28"/>
        </w:rPr>
        <w:t>Z</w:t>
      </w:r>
      <w:r w:rsidR="00AD2D33" w:rsidRPr="00F410AA">
        <w:rPr>
          <w:rFonts w:ascii="Arial" w:hAnsi="Arial" w:cs="Arial"/>
          <w:b/>
          <w:bCs/>
          <w:color w:val="auto"/>
          <w:sz w:val="28"/>
          <w:szCs w:val="28"/>
        </w:rPr>
        <w:t>arządzenie</w:t>
      </w:r>
      <w:r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 nr </w:t>
      </w:r>
      <w:r w:rsidR="007D5758" w:rsidRPr="00F410AA">
        <w:rPr>
          <w:rFonts w:ascii="Arial" w:hAnsi="Arial" w:cs="Arial"/>
          <w:b/>
          <w:bCs/>
          <w:color w:val="auto"/>
          <w:sz w:val="28"/>
          <w:szCs w:val="28"/>
        </w:rPr>
        <w:t>109</w:t>
      </w:r>
      <w:r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 /2022</w:t>
      </w:r>
      <w:r w:rsidR="00FA088A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410AA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z dnia 7 listopada 2022 roku </w:t>
      </w:r>
      <w:r w:rsidRPr="00F410AA">
        <w:rPr>
          <w:rFonts w:ascii="Arial" w:hAnsi="Arial" w:cs="Arial"/>
          <w:b/>
          <w:bCs/>
          <w:color w:val="auto"/>
          <w:sz w:val="28"/>
          <w:szCs w:val="28"/>
        </w:rPr>
        <w:t>Starosty Wodzisławskiego</w:t>
      </w:r>
      <w:r w:rsidR="00F410AA">
        <w:rPr>
          <w:rFonts w:ascii="Arial" w:hAnsi="Arial" w:cs="Arial"/>
          <w:b/>
          <w:bCs/>
          <w:color w:val="auto"/>
          <w:sz w:val="28"/>
          <w:szCs w:val="28"/>
        </w:rPr>
        <w:t>,</w:t>
      </w:r>
      <w:r w:rsidR="00FA088A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F410AA">
        <w:rPr>
          <w:rFonts w:ascii="Arial" w:hAnsi="Arial" w:cs="Arial"/>
          <w:b/>
          <w:bCs/>
          <w:color w:val="auto"/>
          <w:sz w:val="28"/>
          <w:szCs w:val="28"/>
        </w:rPr>
        <w:t>wykonującego zadania z zakresu administracji rządowej</w:t>
      </w:r>
      <w:r w:rsidR="00F410AA">
        <w:rPr>
          <w:rFonts w:ascii="Arial" w:hAnsi="Arial" w:cs="Arial"/>
          <w:b/>
          <w:bCs/>
          <w:color w:val="auto"/>
          <w:sz w:val="28"/>
          <w:szCs w:val="28"/>
        </w:rPr>
        <w:t>,</w:t>
      </w:r>
      <w:r w:rsidR="00FA088A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517F23" w:rsidRPr="00F410AA">
        <w:rPr>
          <w:rFonts w:ascii="Arial" w:hAnsi="Arial" w:cs="Arial"/>
          <w:b/>
          <w:bCs/>
          <w:color w:val="auto"/>
          <w:sz w:val="28"/>
          <w:szCs w:val="28"/>
        </w:rPr>
        <w:t>w sprawie sposobu ustalania wysokości czynszu za</w:t>
      </w:r>
      <w:r w:rsidR="00F410AA">
        <w:rPr>
          <w:rFonts w:ascii="Arial" w:hAnsi="Arial" w:cs="Arial"/>
          <w:b/>
          <w:bCs/>
          <w:color w:val="auto"/>
          <w:sz w:val="28"/>
          <w:szCs w:val="28"/>
        </w:rPr>
        <w:t> </w:t>
      </w:r>
      <w:r w:rsidR="00517F23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dzierżawę </w:t>
      </w:r>
      <w:r w:rsidR="002F101F" w:rsidRPr="00F410AA">
        <w:rPr>
          <w:rFonts w:ascii="Arial" w:hAnsi="Arial" w:cs="Arial"/>
          <w:b/>
          <w:bCs/>
          <w:color w:val="auto"/>
          <w:sz w:val="28"/>
          <w:szCs w:val="28"/>
        </w:rPr>
        <w:t>lub</w:t>
      </w:r>
      <w:r w:rsidR="0091332D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 najem </w:t>
      </w:r>
      <w:r w:rsidR="00517F23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nieruchomości Skarbu Państwa wykorzystywanych na cele </w:t>
      </w:r>
      <w:r w:rsidR="0091332D" w:rsidRPr="00F410AA">
        <w:rPr>
          <w:rFonts w:ascii="Arial" w:hAnsi="Arial" w:cs="Arial"/>
          <w:b/>
          <w:bCs/>
          <w:color w:val="auto"/>
          <w:sz w:val="28"/>
          <w:szCs w:val="28"/>
        </w:rPr>
        <w:t>poza</w:t>
      </w:r>
      <w:r w:rsidR="00517F23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rolnicze, położonych na terenie </w:t>
      </w:r>
      <w:r w:rsidR="000E6FB0" w:rsidRPr="00F410AA">
        <w:rPr>
          <w:rFonts w:ascii="Arial" w:hAnsi="Arial" w:cs="Arial"/>
          <w:b/>
          <w:bCs/>
          <w:color w:val="auto"/>
          <w:sz w:val="28"/>
          <w:szCs w:val="28"/>
        </w:rPr>
        <w:t>p</w:t>
      </w:r>
      <w:r w:rsidR="00517F23" w:rsidRPr="00F410AA">
        <w:rPr>
          <w:rFonts w:ascii="Arial" w:hAnsi="Arial" w:cs="Arial"/>
          <w:b/>
          <w:bCs/>
          <w:color w:val="auto"/>
          <w:sz w:val="28"/>
          <w:szCs w:val="28"/>
        </w:rPr>
        <w:t xml:space="preserve">owiatu </w:t>
      </w:r>
      <w:r w:rsidR="000E6FB0" w:rsidRPr="00F410AA">
        <w:rPr>
          <w:rFonts w:ascii="Arial" w:hAnsi="Arial" w:cs="Arial"/>
          <w:b/>
          <w:bCs/>
          <w:color w:val="auto"/>
          <w:sz w:val="28"/>
          <w:szCs w:val="28"/>
        </w:rPr>
        <w:t>w</w:t>
      </w:r>
      <w:r w:rsidR="00517F23" w:rsidRPr="00F410AA">
        <w:rPr>
          <w:rFonts w:ascii="Arial" w:hAnsi="Arial" w:cs="Arial"/>
          <w:b/>
          <w:bCs/>
          <w:color w:val="auto"/>
          <w:sz w:val="28"/>
          <w:szCs w:val="28"/>
        </w:rPr>
        <w:t>odzisławskiego</w:t>
      </w:r>
    </w:p>
    <w:p w14:paraId="59F979DA" w14:textId="7827616C" w:rsidR="00517F23" w:rsidRPr="00F410AA" w:rsidRDefault="00056EE5" w:rsidP="00F410AA">
      <w:pPr>
        <w:pStyle w:val="Bezodstpw"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Na podstawie art. 11 ust. 1, art. 13 ust. 1 oraz art. 23 ust.1 pkt 7a Ustawy z dnia 21 sierpnia 1997 roku o gospodarce nieruchomościami (t. j. Dz. U. z 2021 r. poz. 1899 z późn. zm.), </w:t>
      </w:r>
      <w:r w:rsidRPr="00F410AA">
        <w:rPr>
          <w:rFonts w:ascii="Arial" w:hAnsi="Arial" w:cs="Arial"/>
          <w:spacing w:val="20"/>
          <w:sz w:val="24"/>
          <w:szCs w:val="24"/>
        </w:rPr>
        <w:t>zarządzam</w:t>
      </w:r>
      <w:r w:rsidRPr="00F410AA">
        <w:rPr>
          <w:rFonts w:ascii="Arial" w:hAnsi="Arial" w:cs="Arial"/>
          <w:sz w:val="24"/>
          <w:szCs w:val="24"/>
        </w:rPr>
        <w:t>, co następuje.</w:t>
      </w:r>
    </w:p>
    <w:p w14:paraId="60CEC9FA" w14:textId="77777777" w:rsidR="00F410AA" w:rsidRPr="00F410AA" w:rsidRDefault="00517F23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§ 1</w:t>
      </w:r>
    </w:p>
    <w:p w14:paraId="4B3A4C74" w14:textId="204060D0" w:rsidR="00C72BC6" w:rsidRPr="00F410AA" w:rsidRDefault="00517F23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Przyjąć stawki czynszu </w:t>
      </w:r>
      <w:r w:rsidR="00056EE5" w:rsidRPr="00F410AA">
        <w:rPr>
          <w:rFonts w:ascii="Arial" w:hAnsi="Arial" w:cs="Arial"/>
          <w:sz w:val="24"/>
          <w:szCs w:val="24"/>
        </w:rPr>
        <w:t>za dzierżawę lub najem nieruchomości</w:t>
      </w:r>
      <w:r w:rsidR="00CD5417" w:rsidRPr="00F410AA">
        <w:rPr>
          <w:rFonts w:ascii="Arial" w:hAnsi="Arial" w:cs="Arial"/>
          <w:sz w:val="24"/>
          <w:szCs w:val="24"/>
        </w:rPr>
        <w:t xml:space="preserve"> Skarbu Państwa położonych na terenie </w:t>
      </w:r>
      <w:r w:rsidR="000E6FB0" w:rsidRPr="00F410AA">
        <w:rPr>
          <w:rFonts w:ascii="Arial" w:hAnsi="Arial" w:cs="Arial"/>
          <w:sz w:val="24"/>
          <w:szCs w:val="24"/>
        </w:rPr>
        <w:t>p</w:t>
      </w:r>
      <w:r w:rsidR="00CD5417" w:rsidRPr="00F410AA">
        <w:rPr>
          <w:rFonts w:ascii="Arial" w:hAnsi="Arial" w:cs="Arial"/>
          <w:sz w:val="24"/>
          <w:szCs w:val="24"/>
        </w:rPr>
        <w:t xml:space="preserve">owiatu </w:t>
      </w:r>
      <w:r w:rsidR="000E6FB0" w:rsidRPr="00F410AA">
        <w:rPr>
          <w:rFonts w:ascii="Arial" w:hAnsi="Arial" w:cs="Arial"/>
          <w:sz w:val="24"/>
          <w:szCs w:val="24"/>
        </w:rPr>
        <w:t>w</w:t>
      </w:r>
      <w:r w:rsidR="00CD5417" w:rsidRPr="00F410AA">
        <w:rPr>
          <w:rFonts w:ascii="Arial" w:hAnsi="Arial" w:cs="Arial"/>
          <w:sz w:val="24"/>
          <w:szCs w:val="24"/>
        </w:rPr>
        <w:t>odzisławskiego</w:t>
      </w:r>
      <w:r w:rsidR="00056EE5" w:rsidRPr="00F410AA">
        <w:rPr>
          <w:rFonts w:ascii="Arial" w:hAnsi="Arial" w:cs="Arial"/>
          <w:sz w:val="24"/>
          <w:szCs w:val="24"/>
        </w:rPr>
        <w:t xml:space="preserve">, </w:t>
      </w:r>
      <w:r w:rsidR="00C72BC6" w:rsidRPr="00F410AA">
        <w:rPr>
          <w:rFonts w:ascii="Arial" w:hAnsi="Arial" w:cs="Arial"/>
          <w:sz w:val="24"/>
          <w:szCs w:val="24"/>
        </w:rPr>
        <w:t>w wysokości określonej poniżej, wykorzystywanych na następujące cele:</w:t>
      </w:r>
    </w:p>
    <w:tbl>
      <w:tblPr>
        <w:tblStyle w:val="Tabela-Siatka"/>
        <w:tblW w:w="9296" w:type="dxa"/>
        <w:tblLook w:val="04A0" w:firstRow="1" w:lastRow="0" w:firstColumn="1" w:lastColumn="0" w:noHBand="0" w:noVBand="1"/>
      </w:tblPr>
      <w:tblGrid>
        <w:gridCol w:w="4531"/>
        <w:gridCol w:w="2410"/>
        <w:gridCol w:w="2355"/>
      </w:tblGrid>
      <w:tr w:rsidR="00436057" w:rsidRPr="00F410AA" w14:paraId="301A6C32" w14:textId="77777777" w:rsidTr="00812331">
        <w:trPr>
          <w:tblHeader/>
        </w:trPr>
        <w:tc>
          <w:tcPr>
            <w:tcW w:w="4531" w:type="dxa"/>
            <w:vAlign w:val="center"/>
          </w:tcPr>
          <w:p w14:paraId="6C8A3E31" w14:textId="6AAF0BFB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spacing w:val="10"/>
                <w:lang w:eastAsia="pl-PL"/>
              </w:rPr>
              <w:t>cel</w:t>
            </w:r>
          </w:p>
        </w:tc>
        <w:tc>
          <w:tcPr>
            <w:tcW w:w="2410" w:type="dxa"/>
            <w:vAlign w:val="center"/>
          </w:tcPr>
          <w:p w14:paraId="0E80DA09" w14:textId="763F7C63" w:rsidR="00436057" w:rsidRPr="00F410AA" w:rsidRDefault="00436057" w:rsidP="00F410A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 xml:space="preserve">gminy </w:t>
            </w:r>
            <w:r w:rsidRPr="00F410AA">
              <w:rPr>
                <w:rFonts w:ascii="Arial" w:eastAsia="Times New Roman" w:hAnsi="Arial" w:cs="Arial"/>
                <w:spacing w:val="10"/>
                <w:lang w:eastAsia="pl-PL"/>
              </w:rPr>
              <w:t>miejskie (stawka)</w:t>
            </w:r>
          </w:p>
        </w:tc>
        <w:tc>
          <w:tcPr>
            <w:tcW w:w="2355" w:type="dxa"/>
            <w:vAlign w:val="center"/>
          </w:tcPr>
          <w:p w14:paraId="0039450B" w14:textId="5E23F7AC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 xml:space="preserve">gminy </w:t>
            </w:r>
            <w:r w:rsidRPr="00F410AA">
              <w:rPr>
                <w:rFonts w:ascii="Arial" w:eastAsia="Times New Roman" w:hAnsi="Arial" w:cs="Arial"/>
                <w:spacing w:val="10"/>
                <w:lang w:eastAsia="pl-PL"/>
              </w:rPr>
              <w:t>wiejskie (stawka)</w:t>
            </w:r>
          </w:p>
        </w:tc>
      </w:tr>
      <w:tr w:rsidR="00436057" w:rsidRPr="00F410AA" w14:paraId="379EBA71" w14:textId="77777777" w:rsidTr="00812331">
        <w:tc>
          <w:tcPr>
            <w:tcW w:w="4531" w:type="dxa"/>
            <w:vAlign w:val="center"/>
          </w:tcPr>
          <w:p w14:paraId="00B592A9" w14:textId="49556A61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działalność usługowo-handlowa</w:t>
            </w:r>
          </w:p>
        </w:tc>
        <w:tc>
          <w:tcPr>
            <w:tcW w:w="2410" w:type="dxa"/>
            <w:vAlign w:val="center"/>
          </w:tcPr>
          <w:p w14:paraId="56BBEA68" w14:textId="77777777" w:rsidR="00436057" w:rsidRPr="00F410AA" w:rsidRDefault="00436057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15,00 zł</w:t>
            </w:r>
          </w:p>
          <w:p w14:paraId="50C80CC0" w14:textId="021C767F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  <w:tc>
          <w:tcPr>
            <w:tcW w:w="2355" w:type="dxa"/>
            <w:vAlign w:val="center"/>
          </w:tcPr>
          <w:p w14:paraId="3C87DB65" w14:textId="77777777" w:rsidR="00436057" w:rsidRPr="00F410AA" w:rsidRDefault="00436057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8,00 zł</w:t>
            </w:r>
          </w:p>
          <w:p w14:paraId="259DF3CD" w14:textId="42F884F0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</w:tr>
      <w:tr w:rsidR="00436057" w:rsidRPr="00F410AA" w14:paraId="19984CFD" w14:textId="77777777" w:rsidTr="00812331">
        <w:tc>
          <w:tcPr>
            <w:tcW w:w="4531" w:type="dxa"/>
            <w:vAlign w:val="center"/>
          </w:tcPr>
          <w:p w14:paraId="5F635904" w14:textId="2AC4A443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działalność okolicznościowa (nie dłużej niż miesiąc)</w:t>
            </w:r>
          </w:p>
        </w:tc>
        <w:tc>
          <w:tcPr>
            <w:tcW w:w="2410" w:type="dxa"/>
            <w:vAlign w:val="center"/>
          </w:tcPr>
          <w:p w14:paraId="6AA73E5B" w14:textId="77777777" w:rsidR="00436057" w:rsidRPr="00F410AA" w:rsidRDefault="00436057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10,00 zł</w:t>
            </w:r>
          </w:p>
          <w:p w14:paraId="015AD1BD" w14:textId="2D10248B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dziennie</w:t>
            </w:r>
          </w:p>
        </w:tc>
        <w:tc>
          <w:tcPr>
            <w:tcW w:w="2355" w:type="dxa"/>
            <w:vAlign w:val="center"/>
          </w:tcPr>
          <w:p w14:paraId="178BF071" w14:textId="77777777" w:rsidR="00436057" w:rsidRPr="00F410AA" w:rsidRDefault="00436057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7,50 zł</w:t>
            </w:r>
          </w:p>
          <w:p w14:paraId="142CE6A0" w14:textId="6E93E8ED" w:rsidR="00436057" w:rsidRPr="00F410AA" w:rsidRDefault="00436057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dziennie</w:t>
            </w:r>
          </w:p>
        </w:tc>
      </w:tr>
      <w:tr w:rsidR="00385BD5" w:rsidRPr="00F410AA" w14:paraId="31DD491F" w14:textId="77777777" w:rsidTr="00812331">
        <w:tc>
          <w:tcPr>
            <w:tcW w:w="4531" w:type="dxa"/>
            <w:vAlign w:val="center"/>
          </w:tcPr>
          <w:p w14:paraId="02CE421E" w14:textId="14A77CBA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działalność produkcyjna, place składowe, magazyny</w:t>
            </w:r>
          </w:p>
        </w:tc>
        <w:tc>
          <w:tcPr>
            <w:tcW w:w="2410" w:type="dxa"/>
            <w:vAlign w:val="center"/>
          </w:tcPr>
          <w:p w14:paraId="495A74B7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3,50 zł</w:t>
            </w:r>
          </w:p>
          <w:p w14:paraId="3DCB3D92" w14:textId="2E3C64A0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  <w:tc>
          <w:tcPr>
            <w:tcW w:w="2355" w:type="dxa"/>
            <w:vAlign w:val="center"/>
          </w:tcPr>
          <w:p w14:paraId="132511F5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2,00 zł</w:t>
            </w:r>
          </w:p>
          <w:p w14:paraId="3905E2DF" w14:textId="102E92EA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</w:tr>
      <w:tr w:rsidR="00385BD5" w:rsidRPr="00F410AA" w14:paraId="1D447BAB" w14:textId="77777777" w:rsidTr="00812331">
        <w:tc>
          <w:tcPr>
            <w:tcW w:w="4531" w:type="dxa"/>
            <w:vAlign w:val="center"/>
          </w:tcPr>
          <w:p w14:paraId="114B0860" w14:textId="2954DEB4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tablice reklamowe i informacyjne poza pasem drogowym</w:t>
            </w:r>
          </w:p>
        </w:tc>
        <w:tc>
          <w:tcPr>
            <w:tcW w:w="2410" w:type="dxa"/>
            <w:vAlign w:val="center"/>
          </w:tcPr>
          <w:p w14:paraId="37F0605B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100,00 zł</w:t>
            </w:r>
          </w:p>
          <w:p w14:paraId="068D03C0" w14:textId="1BAD490B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powierzchni nośnika miesięcznie</w:t>
            </w:r>
          </w:p>
        </w:tc>
        <w:tc>
          <w:tcPr>
            <w:tcW w:w="2355" w:type="dxa"/>
            <w:vAlign w:val="center"/>
          </w:tcPr>
          <w:p w14:paraId="61D7F77F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50,00 zł</w:t>
            </w:r>
          </w:p>
          <w:p w14:paraId="6AD58B0E" w14:textId="353EAE6F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powierzchni nośnika miesięcznie</w:t>
            </w:r>
          </w:p>
        </w:tc>
      </w:tr>
      <w:tr w:rsidR="00385BD5" w:rsidRPr="00F410AA" w14:paraId="5C255A6F" w14:textId="77777777" w:rsidTr="00812331">
        <w:tc>
          <w:tcPr>
            <w:tcW w:w="4531" w:type="dxa"/>
            <w:vAlign w:val="center"/>
          </w:tcPr>
          <w:p w14:paraId="67491208" w14:textId="5457C703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garaże nietrwale z gruntem związane</w:t>
            </w:r>
          </w:p>
        </w:tc>
        <w:tc>
          <w:tcPr>
            <w:tcW w:w="2410" w:type="dxa"/>
          </w:tcPr>
          <w:p w14:paraId="658C9BBA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3,00 zł</w:t>
            </w:r>
          </w:p>
          <w:p w14:paraId="5E3F11C6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  <w:p w14:paraId="79459E9C" w14:textId="411E4F9D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2C896FF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2,00 zł</w:t>
            </w:r>
          </w:p>
          <w:p w14:paraId="7EE2C17A" w14:textId="548319DD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</w:tr>
      <w:tr w:rsidR="00A758A4" w:rsidRPr="00F410AA" w14:paraId="46D586C5" w14:textId="77777777" w:rsidTr="00812331">
        <w:tc>
          <w:tcPr>
            <w:tcW w:w="4531" w:type="dxa"/>
            <w:vAlign w:val="center"/>
          </w:tcPr>
          <w:p w14:paraId="7AE1E18F" w14:textId="7DBF3101" w:rsidR="00A758A4" w:rsidRPr="00F410AA" w:rsidRDefault="00A758A4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obejście niezbędne do prawidłowego funkcjonowania garaży</w:t>
            </w:r>
          </w:p>
        </w:tc>
        <w:tc>
          <w:tcPr>
            <w:tcW w:w="2410" w:type="dxa"/>
          </w:tcPr>
          <w:p w14:paraId="5E4D13D5" w14:textId="77777777" w:rsidR="00A758A4" w:rsidRPr="00F410AA" w:rsidRDefault="00A758A4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1,00 zł</w:t>
            </w:r>
          </w:p>
          <w:p w14:paraId="469724B5" w14:textId="4DFEC026" w:rsidR="00A758A4" w:rsidRPr="00F410AA" w:rsidRDefault="00A758A4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  <w:tc>
          <w:tcPr>
            <w:tcW w:w="2355" w:type="dxa"/>
          </w:tcPr>
          <w:p w14:paraId="18EC09F7" w14:textId="77777777" w:rsidR="00A758A4" w:rsidRPr="00F410AA" w:rsidRDefault="00A758A4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1,00 zł</w:t>
            </w:r>
          </w:p>
          <w:p w14:paraId="2F68140A" w14:textId="324702CD" w:rsidR="00A758A4" w:rsidRPr="00F410AA" w:rsidRDefault="00A758A4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</w:tr>
      <w:tr w:rsidR="00385BD5" w:rsidRPr="00F410AA" w14:paraId="18C4E8B1" w14:textId="77777777" w:rsidTr="00812331">
        <w:tc>
          <w:tcPr>
            <w:tcW w:w="4531" w:type="dxa"/>
            <w:vAlign w:val="center"/>
          </w:tcPr>
          <w:p w14:paraId="200B2A92" w14:textId="34DBB468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miejsca postojowe</w:t>
            </w:r>
          </w:p>
        </w:tc>
        <w:tc>
          <w:tcPr>
            <w:tcW w:w="2410" w:type="dxa"/>
            <w:vAlign w:val="center"/>
          </w:tcPr>
          <w:p w14:paraId="6BA4DB30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1,00 zł</w:t>
            </w:r>
          </w:p>
          <w:p w14:paraId="676CD923" w14:textId="2E799F60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  <w:tc>
          <w:tcPr>
            <w:tcW w:w="2355" w:type="dxa"/>
            <w:vAlign w:val="center"/>
          </w:tcPr>
          <w:p w14:paraId="0AE3DEC0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0,60 zł</w:t>
            </w:r>
          </w:p>
          <w:p w14:paraId="55D2F319" w14:textId="62E51A0E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</w:tr>
      <w:tr w:rsidR="00385BD5" w:rsidRPr="00F410AA" w14:paraId="2A29808B" w14:textId="77777777" w:rsidTr="00812331">
        <w:tc>
          <w:tcPr>
            <w:tcW w:w="4531" w:type="dxa"/>
            <w:vAlign w:val="center"/>
          </w:tcPr>
          <w:p w14:paraId="551F8346" w14:textId="0A256EAB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poprawa zagospodarowania nieruchomości przyległych mieszkaniowych</w:t>
            </w:r>
          </w:p>
        </w:tc>
        <w:tc>
          <w:tcPr>
            <w:tcW w:w="2410" w:type="dxa"/>
            <w:vAlign w:val="center"/>
          </w:tcPr>
          <w:p w14:paraId="591358F5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0,30 zł</w:t>
            </w:r>
          </w:p>
          <w:p w14:paraId="34FBFE61" w14:textId="564889BE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  <w:tc>
          <w:tcPr>
            <w:tcW w:w="2355" w:type="dxa"/>
            <w:vAlign w:val="center"/>
          </w:tcPr>
          <w:p w14:paraId="37D91697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0,20 zł</w:t>
            </w:r>
          </w:p>
          <w:p w14:paraId="425AA2EF" w14:textId="1E446D28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miesięcznie</w:t>
            </w:r>
          </w:p>
        </w:tc>
      </w:tr>
      <w:tr w:rsidR="00385BD5" w:rsidRPr="00F410AA" w14:paraId="2E4BBE32" w14:textId="77777777" w:rsidTr="00812331">
        <w:tc>
          <w:tcPr>
            <w:tcW w:w="4531" w:type="dxa"/>
            <w:vAlign w:val="center"/>
          </w:tcPr>
          <w:p w14:paraId="1535268C" w14:textId="421C6A41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działalność związana z wydobyciem kruszyw</w:t>
            </w:r>
          </w:p>
        </w:tc>
        <w:tc>
          <w:tcPr>
            <w:tcW w:w="2410" w:type="dxa"/>
            <w:vAlign w:val="center"/>
          </w:tcPr>
          <w:p w14:paraId="4E775DD6" w14:textId="77777777" w:rsidR="00A758A4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5,00 zł</w:t>
            </w:r>
          </w:p>
          <w:p w14:paraId="3314785D" w14:textId="1C2B9171" w:rsidR="00385BD5" w:rsidRPr="00F410AA" w:rsidRDefault="00385BD5" w:rsidP="00F410A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rocznie</w:t>
            </w:r>
          </w:p>
        </w:tc>
        <w:tc>
          <w:tcPr>
            <w:tcW w:w="2355" w:type="dxa"/>
            <w:vAlign w:val="center"/>
          </w:tcPr>
          <w:p w14:paraId="0548E732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5,00 zł</w:t>
            </w:r>
          </w:p>
          <w:p w14:paraId="335A67C5" w14:textId="58DA2A33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m</w:t>
            </w:r>
            <w:r w:rsidRPr="00F410AA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 w:rsidRPr="00F410AA">
              <w:rPr>
                <w:rFonts w:ascii="Arial" w:eastAsia="Times New Roman" w:hAnsi="Arial" w:cs="Arial"/>
                <w:lang w:eastAsia="pl-PL"/>
              </w:rPr>
              <w:t xml:space="preserve"> rocznie</w:t>
            </w:r>
          </w:p>
        </w:tc>
      </w:tr>
      <w:tr w:rsidR="00385BD5" w:rsidRPr="00F410AA" w14:paraId="733B4488" w14:textId="77777777" w:rsidTr="00812331">
        <w:tc>
          <w:tcPr>
            <w:tcW w:w="4531" w:type="dxa"/>
            <w:vAlign w:val="center"/>
          </w:tcPr>
          <w:p w14:paraId="2ACC3E89" w14:textId="4491D9D8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rekreacja indywidualna (cel niezwiązany ze zorganizowaną działalnością)</w:t>
            </w:r>
          </w:p>
        </w:tc>
        <w:tc>
          <w:tcPr>
            <w:tcW w:w="2410" w:type="dxa"/>
            <w:vAlign w:val="center"/>
          </w:tcPr>
          <w:p w14:paraId="2A5EFBDA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750,00 zł</w:t>
            </w:r>
          </w:p>
          <w:p w14:paraId="7887D459" w14:textId="18F09F82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ha rocznie</w:t>
            </w:r>
          </w:p>
        </w:tc>
        <w:tc>
          <w:tcPr>
            <w:tcW w:w="2355" w:type="dxa"/>
            <w:vAlign w:val="center"/>
          </w:tcPr>
          <w:p w14:paraId="6223F260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750,00 zł</w:t>
            </w:r>
          </w:p>
          <w:p w14:paraId="0DEA5E95" w14:textId="181636E7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ha rocznie</w:t>
            </w:r>
          </w:p>
        </w:tc>
      </w:tr>
      <w:tr w:rsidR="00385BD5" w:rsidRPr="00F410AA" w14:paraId="781F5626" w14:textId="77777777" w:rsidTr="00812331">
        <w:tc>
          <w:tcPr>
            <w:tcW w:w="4531" w:type="dxa"/>
            <w:vAlign w:val="center"/>
          </w:tcPr>
          <w:p w14:paraId="43C0FD68" w14:textId="2744F038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lastRenderedPageBreak/>
              <w:t>rekreacja na terenach zalewisk wodnych</w:t>
            </w:r>
            <w:r w:rsidRPr="00F410AA">
              <w:rPr>
                <w:rFonts w:ascii="Arial" w:eastAsia="Times New Roman" w:hAnsi="Arial" w:cs="Arial"/>
                <w:lang w:eastAsia="pl-PL"/>
              </w:rPr>
              <w:br/>
              <w:t>wraz z gruntami przyległymi (cel związany</w:t>
            </w:r>
            <w:r w:rsidRPr="00F410AA">
              <w:rPr>
                <w:rFonts w:ascii="Arial" w:eastAsia="Times New Roman" w:hAnsi="Arial" w:cs="Arial"/>
                <w:lang w:eastAsia="pl-PL"/>
              </w:rPr>
              <w:br/>
              <w:t>ze zorganizowaną działalnością)</w:t>
            </w:r>
          </w:p>
        </w:tc>
        <w:tc>
          <w:tcPr>
            <w:tcW w:w="2410" w:type="dxa"/>
            <w:vAlign w:val="center"/>
          </w:tcPr>
          <w:p w14:paraId="1AC065F1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1200,00 zł</w:t>
            </w:r>
          </w:p>
          <w:p w14:paraId="5DC65D1D" w14:textId="6213A0F8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ha rocznie</w:t>
            </w:r>
          </w:p>
        </w:tc>
        <w:tc>
          <w:tcPr>
            <w:tcW w:w="2355" w:type="dxa"/>
            <w:vAlign w:val="center"/>
          </w:tcPr>
          <w:p w14:paraId="261342CE" w14:textId="77777777" w:rsidR="00385BD5" w:rsidRPr="00F410AA" w:rsidRDefault="00385BD5" w:rsidP="00F410AA">
            <w:p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1200,00 zł</w:t>
            </w:r>
          </w:p>
          <w:p w14:paraId="1DEF15AD" w14:textId="4BF6A437" w:rsidR="00385BD5" w:rsidRPr="00F410AA" w:rsidRDefault="00385BD5" w:rsidP="00F410AA">
            <w:pPr>
              <w:pStyle w:val="Bezodstpw"/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0AA">
              <w:rPr>
                <w:rFonts w:ascii="Arial" w:eastAsia="Times New Roman" w:hAnsi="Arial" w:cs="Arial"/>
                <w:lang w:eastAsia="pl-PL"/>
              </w:rPr>
              <w:t>za 1 ha rocznie</w:t>
            </w:r>
          </w:p>
        </w:tc>
      </w:tr>
    </w:tbl>
    <w:p w14:paraId="2D319114" w14:textId="77777777" w:rsidR="00C671F7" w:rsidRPr="00F410AA" w:rsidRDefault="00C671F7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</w:p>
    <w:p w14:paraId="07E1E1D7" w14:textId="19D151C4" w:rsidR="002F101F" w:rsidRPr="00F410AA" w:rsidRDefault="002F101F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§ 2</w:t>
      </w:r>
    </w:p>
    <w:p w14:paraId="692B2C68" w14:textId="7FA1B41E" w:rsidR="00517F23" w:rsidRPr="00F410AA" w:rsidRDefault="00517F23" w:rsidP="00F410AA">
      <w:pPr>
        <w:pStyle w:val="Akapitzlist"/>
        <w:numPr>
          <w:ilvl w:val="0"/>
          <w:numId w:val="5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410AA">
        <w:rPr>
          <w:rFonts w:ascii="Arial" w:eastAsia="Times New Roman" w:hAnsi="Arial" w:cs="Arial"/>
          <w:sz w:val="24"/>
          <w:szCs w:val="24"/>
          <w:lang w:eastAsia="pl-PL"/>
        </w:rPr>
        <w:t xml:space="preserve">Ustalony w umowie czynsz nie może być niższy niż </w:t>
      </w:r>
      <w:r w:rsidR="002F101F" w:rsidRPr="00F410AA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F410AA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 w:rsidR="002F101F" w:rsidRPr="00F410AA">
        <w:rPr>
          <w:rFonts w:ascii="Arial" w:eastAsia="Times New Roman" w:hAnsi="Arial" w:cs="Arial"/>
          <w:sz w:val="24"/>
          <w:szCs w:val="24"/>
          <w:lang w:eastAsia="pl-PL"/>
        </w:rPr>
        <w:t xml:space="preserve"> w stosunku miesięcznym bądź 200,00 zł w stosunku rocznym</w:t>
      </w:r>
      <w:r w:rsidRPr="00F410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18423D" w14:textId="7FC516BE" w:rsidR="002F101F" w:rsidRPr="00F410AA" w:rsidRDefault="002F101F" w:rsidP="00F410AA">
      <w:pPr>
        <w:pStyle w:val="Akapitzlist"/>
        <w:numPr>
          <w:ilvl w:val="0"/>
          <w:numId w:val="5"/>
        </w:numPr>
        <w:spacing w:after="120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F410AA">
        <w:rPr>
          <w:rFonts w:ascii="Arial" w:eastAsia="Times New Roman" w:hAnsi="Arial" w:cs="Arial"/>
          <w:sz w:val="24"/>
          <w:szCs w:val="24"/>
          <w:lang w:eastAsia="pl-PL"/>
        </w:rPr>
        <w:t>Stawki określone w niniejszym zarządzeniu są stawkami wywoławczymi w</w:t>
      </w:r>
      <w:r w:rsidR="00F410A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10AA">
        <w:rPr>
          <w:rFonts w:ascii="Arial" w:eastAsia="Times New Roman" w:hAnsi="Arial" w:cs="Arial"/>
          <w:sz w:val="24"/>
          <w:szCs w:val="24"/>
          <w:lang w:eastAsia="pl-PL"/>
        </w:rPr>
        <w:t xml:space="preserve">przypadku </w:t>
      </w:r>
      <w:r w:rsidR="00CD5417" w:rsidRPr="00F410AA">
        <w:rPr>
          <w:rFonts w:ascii="Arial" w:eastAsia="Times New Roman" w:hAnsi="Arial" w:cs="Arial"/>
          <w:sz w:val="24"/>
          <w:szCs w:val="24"/>
          <w:lang w:eastAsia="pl-PL"/>
        </w:rPr>
        <w:t>oddania w dzierżawę lub najem</w:t>
      </w:r>
      <w:r w:rsidR="00F943D0" w:rsidRPr="00F410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10AA">
        <w:rPr>
          <w:rFonts w:ascii="Arial" w:eastAsia="Times New Roman" w:hAnsi="Arial" w:cs="Arial"/>
          <w:sz w:val="24"/>
          <w:szCs w:val="24"/>
          <w:lang w:eastAsia="pl-PL"/>
        </w:rPr>
        <w:t>nieruchomości Skarbu Państwa w</w:t>
      </w:r>
      <w:r w:rsidR="00F410A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410AA">
        <w:rPr>
          <w:rFonts w:ascii="Arial" w:eastAsia="Times New Roman" w:hAnsi="Arial" w:cs="Arial"/>
          <w:sz w:val="24"/>
          <w:szCs w:val="24"/>
          <w:lang w:eastAsia="pl-PL"/>
        </w:rPr>
        <w:t>trybie przetargowym.</w:t>
      </w:r>
    </w:p>
    <w:p w14:paraId="70B20555" w14:textId="2DB32F1C" w:rsidR="002F101F" w:rsidRPr="00F410AA" w:rsidRDefault="002F101F" w:rsidP="00F410AA">
      <w:pPr>
        <w:pStyle w:val="Akapitzlist"/>
        <w:numPr>
          <w:ilvl w:val="0"/>
          <w:numId w:val="5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W przypadkach zasługujących na szczególne uwzględnienie, Starosta Wodzisławski może ustalić indywidualną stawkę czynszu za dzierżawę lub najem konkretnej nieruchomości, w wysokości innej niż wskazane w § 1</w:t>
      </w:r>
      <w:r w:rsidR="00CD5417" w:rsidRPr="00F410AA">
        <w:rPr>
          <w:rFonts w:ascii="Arial" w:hAnsi="Arial" w:cs="Arial"/>
          <w:sz w:val="24"/>
          <w:szCs w:val="24"/>
        </w:rPr>
        <w:t xml:space="preserve"> niniejszego zarządzenia</w:t>
      </w:r>
      <w:r w:rsidRPr="00F410AA">
        <w:rPr>
          <w:rFonts w:ascii="Arial" w:hAnsi="Arial" w:cs="Arial"/>
          <w:sz w:val="24"/>
          <w:szCs w:val="24"/>
        </w:rPr>
        <w:t>.</w:t>
      </w:r>
    </w:p>
    <w:p w14:paraId="590F4D9D" w14:textId="5469CEB5" w:rsidR="00A07D4F" w:rsidRPr="00F410AA" w:rsidRDefault="002F101F" w:rsidP="00F410AA">
      <w:pPr>
        <w:pStyle w:val="Akapitzlist"/>
        <w:numPr>
          <w:ilvl w:val="0"/>
          <w:numId w:val="5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eastAsia="Times New Roman" w:hAnsi="Arial" w:cs="Arial"/>
          <w:sz w:val="24"/>
          <w:szCs w:val="24"/>
          <w:lang w:eastAsia="pl-PL"/>
        </w:rPr>
        <w:t>Stawki określone w niniejszym zarządzeniu nie uwzględniają podatku VAT.</w:t>
      </w:r>
    </w:p>
    <w:p w14:paraId="35C6137D" w14:textId="0E3A847A" w:rsidR="00517F23" w:rsidRPr="00F410AA" w:rsidRDefault="00517F23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§ </w:t>
      </w:r>
      <w:r w:rsidR="00F943D0" w:rsidRPr="00F410AA">
        <w:rPr>
          <w:rFonts w:ascii="Arial" w:hAnsi="Arial" w:cs="Arial"/>
          <w:sz w:val="24"/>
          <w:szCs w:val="24"/>
        </w:rPr>
        <w:t>3</w:t>
      </w:r>
    </w:p>
    <w:p w14:paraId="0AE667F2" w14:textId="600CE750" w:rsidR="00517F23" w:rsidRPr="00F410AA" w:rsidRDefault="00517F23" w:rsidP="00F410AA">
      <w:pPr>
        <w:pStyle w:val="Akapitzlist"/>
        <w:numPr>
          <w:ilvl w:val="0"/>
          <w:numId w:val="3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W przypadku stwierdzenia bezumownego korzystania z nieruchomości stanowiących własność Skarbu Państwa, pobiera się </w:t>
      </w:r>
      <w:r w:rsidR="00467692" w:rsidRPr="00F410AA">
        <w:rPr>
          <w:rFonts w:ascii="Arial" w:hAnsi="Arial" w:cs="Arial"/>
          <w:sz w:val="24"/>
          <w:szCs w:val="24"/>
        </w:rPr>
        <w:t>wynagrodzenie</w:t>
      </w:r>
      <w:r w:rsidRPr="00F410AA">
        <w:rPr>
          <w:rFonts w:ascii="Arial" w:hAnsi="Arial" w:cs="Arial"/>
          <w:sz w:val="24"/>
          <w:szCs w:val="24"/>
        </w:rPr>
        <w:t xml:space="preserve"> w</w:t>
      </w:r>
      <w:r w:rsidR="00F410AA">
        <w:rPr>
          <w:rFonts w:ascii="Arial" w:hAnsi="Arial" w:cs="Arial"/>
          <w:sz w:val="24"/>
          <w:szCs w:val="24"/>
        </w:rPr>
        <w:t> </w:t>
      </w:r>
      <w:r w:rsidRPr="00F410AA">
        <w:rPr>
          <w:rFonts w:ascii="Arial" w:hAnsi="Arial" w:cs="Arial"/>
          <w:sz w:val="24"/>
          <w:szCs w:val="24"/>
        </w:rPr>
        <w:t xml:space="preserve">wysokości nie </w:t>
      </w:r>
      <w:r w:rsidR="00467692" w:rsidRPr="00F410AA">
        <w:rPr>
          <w:rFonts w:ascii="Arial" w:hAnsi="Arial" w:cs="Arial"/>
          <w:sz w:val="24"/>
          <w:szCs w:val="24"/>
        </w:rPr>
        <w:t>niższej</w:t>
      </w:r>
      <w:r w:rsidRPr="00F410AA">
        <w:rPr>
          <w:rFonts w:ascii="Arial" w:hAnsi="Arial" w:cs="Arial"/>
          <w:sz w:val="24"/>
          <w:szCs w:val="24"/>
        </w:rPr>
        <w:t xml:space="preserve"> niż wysokość stawki określonej w </w:t>
      </w:r>
      <w:r w:rsidR="000C2B87" w:rsidRPr="00F410AA">
        <w:rPr>
          <w:rFonts w:ascii="Arial" w:hAnsi="Arial" w:cs="Arial"/>
          <w:sz w:val="24"/>
          <w:szCs w:val="24"/>
        </w:rPr>
        <w:t>§ 1</w:t>
      </w:r>
      <w:r w:rsidRPr="00F410AA">
        <w:rPr>
          <w:rFonts w:ascii="Arial" w:hAnsi="Arial" w:cs="Arial"/>
          <w:sz w:val="24"/>
          <w:szCs w:val="24"/>
        </w:rPr>
        <w:t xml:space="preserve"> niniejszego zarządzenia.</w:t>
      </w:r>
    </w:p>
    <w:p w14:paraId="442E77F8" w14:textId="25D875F2" w:rsidR="00517F23" w:rsidRPr="00F410AA" w:rsidRDefault="00467692" w:rsidP="00F410AA">
      <w:pPr>
        <w:pStyle w:val="Akapitzlist"/>
        <w:numPr>
          <w:ilvl w:val="0"/>
          <w:numId w:val="3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Wynagrodzenie</w:t>
      </w:r>
      <w:r w:rsidR="00517F23" w:rsidRPr="00F410AA">
        <w:rPr>
          <w:rFonts w:ascii="Arial" w:hAnsi="Arial" w:cs="Arial"/>
          <w:sz w:val="24"/>
          <w:szCs w:val="24"/>
        </w:rPr>
        <w:t xml:space="preserve"> określon</w:t>
      </w:r>
      <w:r w:rsidRPr="00F410AA">
        <w:rPr>
          <w:rFonts w:ascii="Arial" w:hAnsi="Arial" w:cs="Arial"/>
          <w:sz w:val="24"/>
          <w:szCs w:val="24"/>
        </w:rPr>
        <w:t>e</w:t>
      </w:r>
      <w:r w:rsidR="00517F23" w:rsidRPr="00F410AA">
        <w:rPr>
          <w:rFonts w:ascii="Arial" w:hAnsi="Arial" w:cs="Arial"/>
          <w:sz w:val="24"/>
          <w:szCs w:val="24"/>
        </w:rPr>
        <w:t xml:space="preserve"> w ust. 1 pobiera się do czasu zawarcia umowy dzierżawy </w:t>
      </w:r>
      <w:r w:rsidR="000C2B87" w:rsidRPr="00F410AA">
        <w:rPr>
          <w:rFonts w:ascii="Arial" w:hAnsi="Arial" w:cs="Arial"/>
          <w:sz w:val="24"/>
          <w:szCs w:val="24"/>
        </w:rPr>
        <w:t xml:space="preserve">lub najmu, </w:t>
      </w:r>
      <w:r w:rsidR="00517F23" w:rsidRPr="00F410AA">
        <w:rPr>
          <w:rFonts w:ascii="Arial" w:hAnsi="Arial" w:cs="Arial"/>
          <w:sz w:val="24"/>
          <w:szCs w:val="24"/>
        </w:rPr>
        <w:t>bądź do czasu wydania nieruchomości.</w:t>
      </w:r>
    </w:p>
    <w:p w14:paraId="663981F3" w14:textId="6F65CCE7" w:rsidR="00517F23" w:rsidRPr="00F410AA" w:rsidRDefault="00517F23" w:rsidP="00F410AA">
      <w:pPr>
        <w:pStyle w:val="Akapitzlist"/>
        <w:numPr>
          <w:ilvl w:val="0"/>
          <w:numId w:val="3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W przypadku kontynuacji umowy z dotychczasowym dzierżawcą</w:t>
      </w:r>
      <w:r w:rsidR="000C2B87" w:rsidRPr="00F410AA">
        <w:rPr>
          <w:rFonts w:ascii="Arial" w:hAnsi="Arial" w:cs="Arial"/>
          <w:sz w:val="24"/>
          <w:szCs w:val="24"/>
        </w:rPr>
        <w:t xml:space="preserve"> lub najemcą</w:t>
      </w:r>
      <w:r w:rsidRPr="00F410AA">
        <w:rPr>
          <w:rFonts w:ascii="Arial" w:hAnsi="Arial" w:cs="Arial"/>
          <w:sz w:val="24"/>
          <w:szCs w:val="24"/>
        </w:rPr>
        <w:t xml:space="preserve">, </w:t>
      </w:r>
      <w:r w:rsidR="00467692" w:rsidRPr="00F410AA">
        <w:rPr>
          <w:rFonts w:ascii="Arial" w:hAnsi="Arial" w:cs="Arial"/>
          <w:sz w:val="24"/>
          <w:szCs w:val="24"/>
        </w:rPr>
        <w:t>wynagrodzenie</w:t>
      </w:r>
      <w:r w:rsidRPr="00F410AA">
        <w:rPr>
          <w:rFonts w:ascii="Arial" w:hAnsi="Arial" w:cs="Arial"/>
          <w:sz w:val="24"/>
          <w:szCs w:val="24"/>
        </w:rPr>
        <w:t xml:space="preserve"> za bezumowne korzystanie z nieruchomości za okres od</w:t>
      </w:r>
      <w:r w:rsidR="00F410AA">
        <w:rPr>
          <w:rFonts w:ascii="Arial" w:hAnsi="Arial" w:cs="Arial"/>
          <w:sz w:val="24"/>
          <w:szCs w:val="24"/>
        </w:rPr>
        <w:t> </w:t>
      </w:r>
      <w:r w:rsidR="00CD5417" w:rsidRPr="00F410AA">
        <w:rPr>
          <w:rFonts w:ascii="Arial" w:hAnsi="Arial" w:cs="Arial"/>
          <w:sz w:val="24"/>
          <w:szCs w:val="24"/>
        </w:rPr>
        <w:t>zakończenia</w:t>
      </w:r>
      <w:r w:rsidRPr="00F410AA">
        <w:rPr>
          <w:rFonts w:ascii="Arial" w:hAnsi="Arial" w:cs="Arial"/>
          <w:sz w:val="24"/>
          <w:szCs w:val="24"/>
        </w:rPr>
        <w:t xml:space="preserve"> poprzedniej umowy do zawarcia nowej pobierana jest wg wysokości czynszu określonego w ostatnio obowiązującej umowie.</w:t>
      </w:r>
    </w:p>
    <w:p w14:paraId="4391C0A3" w14:textId="75F8FF9A" w:rsidR="00517F23" w:rsidRPr="00F410AA" w:rsidRDefault="00517F23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§ </w:t>
      </w:r>
      <w:r w:rsidR="00F943D0" w:rsidRPr="00F410AA">
        <w:rPr>
          <w:rFonts w:ascii="Arial" w:hAnsi="Arial" w:cs="Arial"/>
          <w:sz w:val="24"/>
          <w:szCs w:val="24"/>
        </w:rPr>
        <w:t>4</w:t>
      </w:r>
    </w:p>
    <w:p w14:paraId="6F0579D5" w14:textId="5D753EF0" w:rsidR="00CC0DC8" w:rsidRPr="00F410AA" w:rsidRDefault="000C2B87" w:rsidP="00F410AA">
      <w:pPr>
        <w:pStyle w:val="Akapitzlist"/>
        <w:numPr>
          <w:ilvl w:val="0"/>
          <w:numId w:val="8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Wydzierżawiający </w:t>
      </w:r>
      <w:r w:rsidR="00CC0DC8" w:rsidRPr="00F410AA">
        <w:rPr>
          <w:rFonts w:ascii="Arial" w:hAnsi="Arial" w:cs="Arial"/>
          <w:sz w:val="24"/>
          <w:szCs w:val="24"/>
        </w:rPr>
        <w:t xml:space="preserve">(wynajmujący) </w:t>
      </w:r>
      <w:r w:rsidRPr="00F410AA">
        <w:rPr>
          <w:rFonts w:ascii="Arial" w:hAnsi="Arial" w:cs="Arial"/>
          <w:sz w:val="24"/>
          <w:szCs w:val="24"/>
        </w:rPr>
        <w:t>ma prawo do dokonywania corocznej waloryzacji kwoty netto czynszu od dnia 1 lutego każdego roku w oparciu o</w:t>
      </w:r>
      <w:r w:rsidR="00F410AA">
        <w:rPr>
          <w:rFonts w:ascii="Arial" w:hAnsi="Arial" w:cs="Arial"/>
          <w:sz w:val="24"/>
          <w:szCs w:val="24"/>
        </w:rPr>
        <w:t> </w:t>
      </w:r>
      <w:r w:rsidRPr="00F410AA">
        <w:rPr>
          <w:rFonts w:ascii="Arial" w:hAnsi="Arial" w:cs="Arial"/>
          <w:sz w:val="24"/>
          <w:szCs w:val="24"/>
        </w:rPr>
        <w:t>średnioroczny wskaźnik cen towarów i usług konsumpcyjnych za poprzedni rok kalendarzowy, ogłaszany przez Prezesa Głównego Urzędu Statystycznego, przy czym zwaloryzowana kwota podlega zaokrągleniu do pełnych złotych wzwyż.</w:t>
      </w:r>
    </w:p>
    <w:p w14:paraId="608FBBB5" w14:textId="43578879" w:rsidR="000C2B87" w:rsidRPr="00F410AA" w:rsidRDefault="000C2B87" w:rsidP="00F410AA">
      <w:pPr>
        <w:pStyle w:val="Akapitzlist"/>
        <w:numPr>
          <w:ilvl w:val="0"/>
          <w:numId w:val="8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Waloryzacja kwoty czynszu dokonywana będzie w drodze pisemnego zawiadomienia, które stanowić będzie integralną część umowy i nie będzie stanowić zmiany pozostałych jej warunków.</w:t>
      </w:r>
    </w:p>
    <w:p w14:paraId="23C1C86D" w14:textId="22D44D3C" w:rsidR="00517F23" w:rsidRPr="00F410AA" w:rsidRDefault="00467692" w:rsidP="00F410AA">
      <w:pPr>
        <w:pStyle w:val="Akapitzlist"/>
        <w:numPr>
          <w:ilvl w:val="0"/>
          <w:numId w:val="8"/>
        </w:numPr>
        <w:spacing w:after="120"/>
        <w:ind w:left="426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W treści umowy najmu lub dzierżawy nieruchomości Skarbu Państwa zawiera się postanowienie o waloryzacji czynszu zgodnie z postanowieniem niniejszego paragrafu. </w:t>
      </w:r>
    </w:p>
    <w:p w14:paraId="2021B32E" w14:textId="67DD1D22" w:rsidR="00517F23" w:rsidRPr="00F410AA" w:rsidRDefault="00517F23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§ </w:t>
      </w:r>
      <w:r w:rsidR="00F943D0" w:rsidRPr="00F410AA">
        <w:rPr>
          <w:rFonts w:ascii="Arial" w:hAnsi="Arial" w:cs="Arial"/>
          <w:sz w:val="24"/>
          <w:szCs w:val="24"/>
        </w:rPr>
        <w:t>5</w:t>
      </w:r>
    </w:p>
    <w:p w14:paraId="47E3AC13" w14:textId="2D156B33" w:rsidR="00517F23" w:rsidRPr="00F410AA" w:rsidRDefault="00517F23" w:rsidP="00F410AA">
      <w:pPr>
        <w:pStyle w:val="Bezodstpw"/>
        <w:numPr>
          <w:ilvl w:val="0"/>
          <w:numId w:val="9"/>
        </w:num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Niniejsz</w:t>
      </w:r>
      <w:r w:rsidR="00F410AA" w:rsidRPr="00F410AA">
        <w:rPr>
          <w:rFonts w:ascii="Arial" w:hAnsi="Arial" w:cs="Arial"/>
          <w:sz w:val="24"/>
          <w:szCs w:val="24"/>
        </w:rPr>
        <w:t>e</w:t>
      </w:r>
      <w:r w:rsidRPr="00F410AA">
        <w:rPr>
          <w:rFonts w:ascii="Arial" w:hAnsi="Arial" w:cs="Arial"/>
          <w:sz w:val="24"/>
          <w:szCs w:val="24"/>
        </w:rPr>
        <w:t xml:space="preserve"> zarządzeniem uchyla się Zarządzeni</w:t>
      </w:r>
      <w:r w:rsidR="00AC1B72" w:rsidRPr="00F410AA">
        <w:rPr>
          <w:rFonts w:ascii="Arial" w:hAnsi="Arial" w:cs="Arial"/>
          <w:sz w:val="24"/>
          <w:szCs w:val="24"/>
        </w:rPr>
        <w:t>e</w:t>
      </w:r>
      <w:r w:rsidRPr="00F410AA">
        <w:rPr>
          <w:rFonts w:ascii="Arial" w:hAnsi="Arial" w:cs="Arial"/>
          <w:sz w:val="24"/>
          <w:szCs w:val="24"/>
        </w:rPr>
        <w:t xml:space="preserve"> Nr 73/2018 Starosty Wodzisławskiego wykonującego zadania z zakresu administracji rządowej z dnia 28 listopada</w:t>
      </w:r>
      <w:r w:rsidR="00F11BA1" w:rsidRPr="00F410AA">
        <w:rPr>
          <w:rFonts w:ascii="Arial" w:hAnsi="Arial" w:cs="Arial"/>
          <w:sz w:val="24"/>
          <w:szCs w:val="24"/>
        </w:rPr>
        <w:t xml:space="preserve"> </w:t>
      </w:r>
      <w:r w:rsidRPr="00F410AA">
        <w:rPr>
          <w:rFonts w:ascii="Arial" w:hAnsi="Arial" w:cs="Arial"/>
          <w:sz w:val="24"/>
          <w:szCs w:val="24"/>
        </w:rPr>
        <w:t>2018 roku</w:t>
      </w:r>
      <w:r w:rsidR="007D5758" w:rsidRPr="00F410AA">
        <w:rPr>
          <w:rFonts w:ascii="Arial" w:hAnsi="Arial" w:cs="Arial"/>
          <w:sz w:val="24"/>
          <w:szCs w:val="24"/>
        </w:rPr>
        <w:t xml:space="preserve"> </w:t>
      </w:r>
      <w:r w:rsidRPr="00F410AA">
        <w:rPr>
          <w:rFonts w:ascii="Arial" w:hAnsi="Arial" w:cs="Arial"/>
          <w:sz w:val="24"/>
          <w:szCs w:val="24"/>
        </w:rPr>
        <w:t>w sprawie ustalenia wysokości stawek czynszu za</w:t>
      </w:r>
      <w:r w:rsidR="00F410AA">
        <w:rPr>
          <w:rFonts w:ascii="Arial" w:hAnsi="Arial" w:cs="Arial"/>
          <w:sz w:val="24"/>
          <w:szCs w:val="24"/>
        </w:rPr>
        <w:t> </w:t>
      </w:r>
      <w:r w:rsidRPr="00F410AA">
        <w:rPr>
          <w:rFonts w:ascii="Arial" w:hAnsi="Arial" w:cs="Arial"/>
          <w:sz w:val="24"/>
          <w:szCs w:val="24"/>
        </w:rPr>
        <w:t>dzierżawę lub najem gruntu stanowiącego własność Skarbu Państwa, położonego na terenie Powiatu Wodzisławskiego,</w:t>
      </w:r>
      <w:r w:rsidR="00AC1B72" w:rsidRPr="00F410AA">
        <w:rPr>
          <w:rFonts w:ascii="Arial" w:hAnsi="Arial" w:cs="Arial"/>
          <w:sz w:val="24"/>
          <w:szCs w:val="24"/>
        </w:rPr>
        <w:t xml:space="preserve"> </w:t>
      </w:r>
      <w:r w:rsidRPr="00F410AA">
        <w:rPr>
          <w:rFonts w:ascii="Arial" w:hAnsi="Arial" w:cs="Arial"/>
          <w:sz w:val="24"/>
          <w:szCs w:val="24"/>
        </w:rPr>
        <w:t>na okres nie dłuższy niż 3</w:t>
      </w:r>
      <w:r w:rsidR="00F410AA">
        <w:rPr>
          <w:rFonts w:ascii="Arial" w:hAnsi="Arial" w:cs="Arial"/>
          <w:sz w:val="24"/>
          <w:szCs w:val="24"/>
        </w:rPr>
        <w:t> </w:t>
      </w:r>
      <w:r w:rsidRPr="00F410AA">
        <w:rPr>
          <w:rFonts w:ascii="Arial" w:hAnsi="Arial" w:cs="Arial"/>
          <w:sz w:val="24"/>
          <w:szCs w:val="24"/>
        </w:rPr>
        <w:t>lata.</w:t>
      </w:r>
    </w:p>
    <w:p w14:paraId="044D2FDF" w14:textId="06AC155A" w:rsidR="00517F23" w:rsidRPr="00F410AA" w:rsidRDefault="00680C2D" w:rsidP="00F410AA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Zastosowane w obowiązujących umowach dzierżawy lub najmu stawki czynszu, a także postanowienia umowne dotyczące kształtowania ich wysokości, nie ulegają zmianie</w:t>
      </w:r>
      <w:r w:rsidR="00F410AA">
        <w:rPr>
          <w:rFonts w:ascii="Arial" w:hAnsi="Arial" w:cs="Arial"/>
          <w:sz w:val="24"/>
          <w:szCs w:val="24"/>
        </w:rPr>
        <w:t xml:space="preserve"> </w:t>
      </w:r>
      <w:r w:rsidRPr="00F410AA">
        <w:rPr>
          <w:rFonts w:ascii="Arial" w:hAnsi="Arial" w:cs="Arial"/>
          <w:sz w:val="24"/>
          <w:szCs w:val="24"/>
        </w:rPr>
        <w:t>po przyjęciu niniejszego zarządzenia, lecz obowiązują do końca trwania tych umów.</w:t>
      </w:r>
    </w:p>
    <w:p w14:paraId="3DD2BA6A" w14:textId="33083EC5" w:rsidR="00517F23" w:rsidRPr="00F410AA" w:rsidRDefault="00517F23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§ </w:t>
      </w:r>
      <w:r w:rsidR="00F943D0" w:rsidRPr="00F410AA">
        <w:rPr>
          <w:rFonts w:ascii="Arial" w:hAnsi="Arial" w:cs="Arial"/>
          <w:sz w:val="24"/>
          <w:szCs w:val="24"/>
        </w:rPr>
        <w:t>6</w:t>
      </w:r>
    </w:p>
    <w:p w14:paraId="1B52885A" w14:textId="5E5CD31F" w:rsidR="00517F23" w:rsidRPr="00F410AA" w:rsidRDefault="00517F23" w:rsidP="00F410AA">
      <w:pPr>
        <w:pStyle w:val="Bezodstpw"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Wykonanie zarządzenia powierza się Naczelnikowi Wydziału Gospodarki Nieruchomościami.</w:t>
      </w:r>
    </w:p>
    <w:p w14:paraId="34443B1E" w14:textId="450CF11D" w:rsidR="00517F23" w:rsidRPr="00F410AA" w:rsidRDefault="00517F23" w:rsidP="00F410AA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 xml:space="preserve">§ </w:t>
      </w:r>
      <w:r w:rsidR="00F943D0" w:rsidRPr="00F410AA">
        <w:rPr>
          <w:rFonts w:ascii="Arial" w:hAnsi="Arial" w:cs="Arial"/>
          <w:sz w:val="24"/>
          <w:szCs w:val="24"/>
        </w:rPr>
        <w:t>7</w:t>
      </w:r>
    </w:p>
    <w:p w14:paraId="14870D7D" w14:textId="25B84C7A" w:rsidR="00AF7A7F" w:rsidRPr="00F410AA" w:rsidRDefault="00517F23" w:rsidP="00F410AA">
      <w:pPr>
        <w:pStyle w:val="Bezodstpw"/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F410AA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AF7A7F" w:rsidRPr="00F410AA" w:rsidSect="0046769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370"/>
    <w:multiLevelType w:val="hybridMultilevel"/>
    <w:tmpl w:val="72B2923C"/>
    <w:lvl w:ilvl="0" w:tplc="6FEAC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F190DF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64858C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Bookman Old Style" w:hAnsi="Bookman Old Style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AC2BAD"/>
    <w:multiLevelType w:val="hybridMultilevel"/>
    <w:tmpl w:val="7720ACC0"/>
    <w:lvl w:ilvl="0" w:tplc="B3A697D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1CCE"/>
    <w:multiLevelType w:val="hybridMultilevel"/>
    <w:tmpl w:val="6A5810F2"/>
    <w:lvl w:ilvl="0" w:tplc="F5C2CD0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57F"/>
    <w:multiLevelType w:val="hybridMultilevel"/>
    <w:tmpl w:val="5136F5D0"/>
    <w:lvl w:ilvl="0" w:tplc="B6742D1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50D"/>
    <w:multiLevelType w:val="hybridMultilevel"/>
    <w:tmpl w:val="7720AC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2F50"/>
    <w:multiLevelType w:val="hybridMultilevel"/>
    <w:tmpl w:val="E81AF55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B0C55F8"/>
    <w:multiLevelType w:val="hybridMultilevel"/>
    <w:tmpl w:val="8710E4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10A2EA6"/>
    <w:multiLevelType w:val="hybridMultilevel"/>
    <w:tmpl w:val="95542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3568EE"/>
    <w:multiLevelType w:val="hybridMultilevel"/>
    <w:tmpl w:val="439AD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81305">
    <w:abstractNumId w:val="3"/>
  </w:num>
  <w:num w:numId="2" w16cid:durableId="1115368264">
    <w:abstractNumId w:val="2"/>
  </w:num>
  <w:num w:numId="3" w16cid:durableId="840971503">
    <w:abstractNumId w:val="1"/>
  </w:num>
  <w:num w:numId="4" w16cid:durableId="888959402">
    <w:abstractNumId w:val="6"/>
  </w:num>
  <w:num w:numId="5" w16cid:durableId="180709609">
    <w:abstractNumId w:val="8"/>
  </w:num>
  <w:num w:numId="6" w16cid:durableId="124853554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3466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135870">
    <w:abstractNumId w:val="4"/>
  </w:num>
  <w:num w:numId="9" w16cid:durableId="66489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23"/>
    <w:rsid w:val="00056EE5"/>
    <w:rsid w:val="000C2B87"/>
    <w:rsid w:val="000E6FB0"/>
    <w:rsid w:val="00194AB8"/>
    <w:rsid w:val="001D5330"/>
    <w:rsid w:val="00257C38"/>
    <w:rsid w:val="002F101F"/>
    <w:rsid w:val="003275DA"/>
    <w:rsid w:val="00385BD5"/>
    <w:rsid w:val="00436057"/>
    <w:rsid w:val="00467692"/>
    <w:rsid w:val="00477535"/>
    <w:rsid w:val="00517F23"/>
    <w:rsid w:val="005310CD"/>
    <w:rsid w:val="00680C2D"/>
    <w:rsid w:val="007A5E76"/>
    <w:rsid w:val="007D5758"/>
    <w:rsid w:val="008072EF"/>
    <w:rsid w:val="00812331"/>
    <w:rsid w:val="008901CB"/>
    <w:rsid w:val="0091332D"/>
    <w:rsid w:val="00926A22"/>
    <w:rsid w:val="00A07D4F"/>
    <w:rsid w:val="00A31FC4"/>
    <w:rsid w:val="00A758A4"/>
    <w:rsid w:val="00AC1B72"/>
    <w:rsid w:val="00AD2D33"/>
    <w:rsid w:val="00AF7A7F"/>
    <w:rsid w:val="00B278E6"/>
    <w:rsid w:val="00BD3894"/>
    <w:rsid w:val="00C671F7"/>
    <w:rsid w:val="00C72BC6"/>
    <w:rsid w:val="00C84EE0"/>
    <w:rsid w:val="00CC0DC8"/>
    <w:rsid w:val="00CD1167"/>
    <w:rsid w:val="00CD5417"/>
    <w:rsid w:val="00D51C8E"/>
    <w:rsid w:val="00E07936"/>
    <w:rsid w:val="00E5125F"/>
    <w:rsid w:val="00E6521E"/>
    <w:rsid w:val="00ED0869"/>
    <w:rsid w:val="00ED393A"/>
    <w:rsid w:val="00F11BA1"/>
    <w:rsid w:val="00F410AA"/>
    <w:rsid w:val="00F943D0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6C2"/>
  <w15:chartTrackingRefBased/>
  <w15:docId w15:val="{D3C9C525-840B-47EC-8628-6AADF2A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0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F23"/>
    <w:pPr>
      <w:ind w:left="720"/>
      <w:contextualSpacing/>
    </w:pPr>
  </w:style>
  <w:style w:type="paragraph" w:styleId="Bezodstpw">
    <w:name w:val="No Spacing"/>
    <w:uiPriority w:val="1"/>
    <w:qFormat/>
    <w:rsid w:val="00517F23"/>
    <w:pPr>
      <w:spacing w:after="0" w:line="240" w:lineRule="auto"/>
    </w:pPr>
  </w:style>
  <w:style w:type="table" w:styleId="Tabelalisty2">
    <w:name w:val="List Table 2"/>
    <w:basedOn w:val="Standardowy"/>
    <w:uiPriority w:val="47"/>
    <w:rsid w:val="00517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Siatka">
    <w:name w:val="Table Grid"/>
    <w:basedOn w:val="Standardowy"/>
    <w:uiPriority w:val="39"/>
    <w:rsid w:val="0043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078F-2971-4EF8-97B9-915799AB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Tomecka</dc:creator>
  <cp:keywords/>
  <dc:description/>
  <cp:lastModifiedBy>Magdalena Szotek</cp:lastModifiedBy>
  <cp:revision>2</cp:revision>
  <cp:lastPrinted>2022-11-04T10:53:00Z</cp:lastPrinted>
  <dcterms:created xsi:type="dcterms:W3CDTF">2023-01-04T07:13:00Z</dcterms:created>
  <dcterms:modified xsi:type="dcterms:W3CDTF">2023-01-04T07:13:00Z</dcterms:modified>
</cp:coreProperties>
</file>