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6613F8">
        <w:rPr>
          <w:b/>
        </w:rPr>
        <w:t>1</w:t>
      </w:r>
      <w:r w:rsidR="0059654E">
        <w:rPr>
          <w:b/>
        </w:rPr>
        <w:t>2</w:t>
      </w:r>
      <w:r w:rsidR="0023635D">
        <w:rPr>
          <w:b/>
        </w:rPr>
        <w:t>/2013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59654E">
        <w:rPr>
          <w:b/>
        </w:rPr>
        <w:t>1</w:t>
      </w:r>
      <w:r w:rsidR="006613F8">
        <w:rPr>
          <w:b/>
        </w:rPr>
        <w:t>2</w:t>
      </w:r>
      <w:r>
        <w:rPr>
          <w:b/>
        </w:rPr>
        <w:t>.</w:t>
      </w:r>
      <w:r w:rsidR="001B358A">
        <w:rPr>
          <w:b/>
        </w:rPr>
        <w:t>1</w:t>
      </w:r>
      <w:r w:rsidR="0059654E">
        <w:rPr>
          <w:b/>
        </w:rPr>
        <w:t>1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AC79E7">
        <w:t xml:space="preserve">określenia przypadków, w jakich można obniżyć nauczycielowi tygodniowy, obowiązkowy wymiar godzin zajęć oraz warunki i tryb tego obniżenia w szkołach i placówkach prowadzonych przez Powiat Wodzisławski. </w:t>
      </w:r>
      <w:r w:rsidR="0054203F">
        <w:t xml:space="preserve"> 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FA10C1">
        <w:t>7 głosów „za”, 1 głos „wstrzymujący”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80788"/>
    <w:rsid w:val="001B358A"/>
    <w:rsid w:val="00227515"/>
    <w:rsid w:val="0023635D"/>
    <w:rsid w:val="002A512C"/>
    <w:rsid w:val="002C0695"/>
    <w:rsid w:val="00362266"/>
    <w:rsid w:val="00387206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AA5126"/>
    <w:rsid w:val="00AC79E7"/>
    <w:rsid w:val="00AE13EA"/>
    <w:rsid w:val="00B34857"/>
    <w:rsid w:val="00B86405"/>
    <w:rsid w:val="00BC6764"/>
    <w:rsid w:val="00CB770B"/>
    <w:rsid w:val="00CD3299"/>
    <w:rsid w:val="00CE768C"/>
    <w:rsid w:val="00E17EE6"/>
    <w:rsid w:val="00FA10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2013-11-12T09:47:00Z</cp:lastPrinted>
  <dcterms:created xsi:type="dcterms:W3CDTF">2013-11-12T09:50:00Z</dcterms:created>
  <dcterms:modified xsi:type="dcterms:W3CDTF">2014-05-30T06:07:00Z</dcterms:modified>
</cp:coreProperties>
</file>